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персонифицированного учета детей, возвращенных из зон боевых действий в Сирийской Арабской</w:t>
        <w:br/>
        <w:t>Республики и Республике Ирак, а также информация о реализации мероприятий по их медицинской и социальной</w:t>
        <w:br/>
        <w:t>реабилитации (за 2021 г. - 1 полугодие 2022 г.)</w:t>
      </w:r>
    </w:p>
    <w:tbl>
      <w:tblPr>
        <w:tblOverlap w:val="never"/>
        <w:jc w:val="center"/>
        <w:tblLayout w:type="fixed"/>
      </w:tblPr>
      <w:tblGrid>
        <w:gridCol w:w="1819"/>
        <w:gridCol w:w="1853"/>
        <w:gridCol w:w="2256"/>
        <w:gridCol w:w="1968"/>
        <w:gridCol w:w="2256"/>
        <w:gridCol w:w="2251"/>
        <w:gridCol w:w="2400"/>
      </w:tblGrid>
      <w:tr>
        <w:trPr>
          <w:trHeight w:val="3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Фамилия, имя, отчество, дата рождения ребенка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Законные представители ребенка 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(фамилия, имя, отчество, дата рождения, род деятельности)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Образовательные организации, в которых обучается ребенок 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(наименование, 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Фамилия, имя, отчество и род деятельности специалиста, закрепленного в качестве куратора семьи 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(согласно пункту 1.7 Типового алгоритма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2"/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)*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Реализованные мероприятия в сфере образования 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(с указанием информации об обучении по индивидуальному учебному плану, при наличии)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Реализованные мероприятия психолого</w:t>
              <w:softHyphen/>
              <w:t xml:space="preserve">педагогического сопровождения ребенка 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(с указанием заключения психолого-медико</w:t>
              <w:softHyphen/>
              <w:t>педагогической комиссии, при прохождении)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Реализованные/ запланированные мероприятия в сфере поддержки законных представителей и членов семьи ребенка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(6)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(7)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erReference w:type="default" r:id="rId5"/>
      <w:footnotePr>
        <w:pos w:val="pageBottom"/>
        <w:numFmt w:val="upperRoman"/>
        <w:numStart w:val="1"/>
        <w:numRestart w:val="continuous"/>
        <w15:footnoteColumns w:val="1"/>
      </w:footnotePr>
      <w:pgSz w:w="16840" w:h="11900" w:orient="landscape"/>
      <w:pgMar w:top="400" w:left="1018" w:right="1018" w:bottom="854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7014210</wp:posOffset>
              </wp:positionV>
              <wp:extent cx="157861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786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О предоставлении информации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700000000000003pt;margin-top:552.29999999999995pt;width:124.3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О предоставлении информации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ru-RU" w:eastAsia="ru-RU" w:bidi="ru-RU"/>
        </w:rPr>
        <w:footnoteRef/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Типовой алгоритм по организации в субъектах Российской Федерации работы по медицинской и социальной реабилитации, а также по социальной адаптации детей, возвращаемых из зон боевых действий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Фролов</dc:creator>
  <cp:keywords/>
</cp:coreProperties>
</file>